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Taxi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Taxi.</w:t>
            </w:r>
          </w:p>
          <w:p>
            <w:pPr>
              <w:jc w:val="both"/>
            </w:pPr>
            <w:r>
              <w:rPr>
                <w:rFonts w:ascii="Arial" w:hAnsi="Arial"/>
              </w:rPr>
              <w:t xml:space="preserve">Sono definiti autotrasporti pubblici non di linea quelli che provvedono al trasporto collettivo o individuale di persone, con funzione complementare e integrativa rispetto ai trasporti pubblici di linea e che vengono effettuati, a richiesta dei trasportati, in modo non continuativo o periodico, su itinerari e secondo orari stabiliti di volta in volta.</w:t>
            </w:r>
          </w:p>
          <w:p>
            <w:pPr>
              <w:jc w:val="both"/>
            </w:pPr>
            <w:r>
              <w:rPr>
                <w:rFonts w:ascii="Arial" w:hAnsi="Arial"/>
              </w:rPr>
              <w:t xml:space="preserve"/>
            </w:r>
          </w:p>
          <w:p>
            <w:pPr>
              <w:jc w:val="both"/>
            </w:pPr>
            <w:r>
              <w:rPr>
                <w:rFonts w:ascii="Arial" w:hAnsi="Arial"/>
              </w:rPr>
              <w:t xml:space="preserve"> </w:t>
            </w:r>
          </w:p>
          <w:p>
            <w:pPr>
              <w:jc w:val="both"/>
            </w:pPr>
            <w:r>
              <w:rPr>
                <w:rFonts w:ascii="Arial" w:hAnsi="Arial"/>
              </w:rPr>
              <w:t xml:space="preserve"/>
            </w:r>
          </w:p>
          <w:p>
            <w:pPr>
              <w:jc w:val="both"/>
            </w:pPr>
            <w:r>
              <w:rPr>
                <w:rFonts w:ascii="Arial" w:hAnsi="Arial"/>
              </w:rPr>
              <w:t xml:space="preserve">Sono servizi pubblici non di linea:</w:t>
            </w:r>
          </w:p>
          <w:p>
            <w:pPr>
              <w:jc w:val="both"/>
            </w:pPr>
            <w:r>
              <w:rPr>
                <w:rFonts w:ascii="Arial" w:hAnsi="Arial"/>
              </w:rPr>
              <w:t xml:space="preserve"/>
            </w:r>
          </w:p>
          <w:p>
            <w:pPr>
              <w:jc w:val="both"/>
            </w:pPr>
            <w:r>
              <w:rPr>
                <w:rFonts w:ascii="Arial" w:hAnsi="Arial"/>
              </w:rPr>
              <w:t xml:space="preserve">il servizio di taxi con autovettura, motocarrozzetta, natante e veicoli a trazione animale;</w:t>
            </w:r>
          </w:p>
          <w:p>
            <w:pPr>
              <w:jc w:val="both"/>
            </w:pPr>
            <w:r>
              <w:rPr>
                <w:rFonts w:ascii="Arial" w:hAnsi="Arial"/>
              </w:rPr>
              <w:t xml:space="preserve">il servizio di noleggio con conducente e autovettura, motocarrozzetta, natante e veicoli a trazione animale;</w:t>
            </w:r>
          </w:p>
          <w:p>
            <w:pPr>
              <w:jc w:val="both"/>
            </w:pPr>
            <w:r>
              <w:rPr>
                <w:rFonts w:ascii="Arial" w:hAnsi="Arial"/>
              </w:rPr>
              <w:t xml:space="preserve"> </w:t>
            </w:r>
          </w:p>
          <w:p>
            <w:pPr>
              <w:jc w:val="both"/>
            </w:pPr>
            <w:r>
              <w:rPr>
                <w:rFonts w:ascii="Arial" w:hAnsi="Arial"/>
              </w:rPr>
              <w:t xml:space="preserve"/>
            </w:r>
          </w:p>
          <w:p>
            <w:pPr>
              <w:jc w:val="both"/>
            </w:pPr>
            <w:r>
              <w:rPr>
                <w:rFonts w:ascii="Arial" w:hAnsi="Arial"/>
              </w:rPr>
              <w:t xml:space="preserve">Il servizio di taxi ha lo scopo di soddisfare le esigenze del trasporto individuale o di piccoli gruppi di persone; si rivolge ad una utenza indifferenziata, con stazionamento in luogo pubblico stabilito dal Comune; il prelevamento dell'utente e/o l'inizio del servizio avvengono di regola all'interno dell'area comunale, ma e' consentito l'esercizio dell'attivita' anche al di fuori del territorio dei Comuni che hanno rilasciato la licenza sulla base di accordi sottoscritti dai sindaci dei Comuni interessati.</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Il Comune, con proprio regolamento, stabilisce:</w:t>
            </w:r>
          </w:p>
          <w:p>
            <w:pPr>
              <w:jc w:val="both"/>
            </w:pPr>
            <w:r>
              <w:rPr>
                <w:rFonts w:ascii="Arial" w:hAnsi="Arial"/>
              </w:rPr>
              <w:t xml:space="preserve"/>
            </w:r>
          </w:p>
          <w:p>
            <w:pPr>
              <w:jc w:val="both"/>
            </w:pPr>
            <w:r>
              <w:rPr>
                <w:rFonts w:ascii="Arial" w:hAnsi="Arial"/>
              </w:rPr>
              <w:t xml:space="preserve">il numero ed il tipo di veicoli da adibire ad ogni singolo servizio;</w:t>
            </w:r>
          </w:p>
          <w:p>
            <w:pPr>
              <w:jc w:val="both"/>
            </w:pPr>
            <w:r>
              <w:rPr>
                <w:rFonts w:ascii="Arial" w:hAnsi="Arial"/>
              </w:rPr>
              <w:t xml:space="preserve">le modalita' per lo svolgimento del servizio;</w:t>
            </w:r>
          </w:p>
          <w:p>
            <w:pPr>
              <w:jc w:val="both"/>
            </w:pPr>
            <w:r>
              <w:rPr>
                <w:rFonts w:ascii="Arial" w:hAnsi="Arial"/>
              </w:rPr>
              <w:t xml:space="preserve">i criteri per la determinazione delle tariffe;</w:t>
            </w:r>
          </w:p>
          <w:p>
            <w:pPr>
              <w:jc w:val="both"/>
            </w:pPr>
            <w:r>
              <w:rPr>
                <w:rFonts w:ascii="Arial" w:hAnsi="Arial"/>
              </w:rPr>
              <w:t xml:space="preserve">i requisiti e le condizioni per il rilascio della licenza;</w:t>
            </w:r>
          </w:p>
          <w:p>
            <w:pPr>
              <w:jc w:val="both"/>
            </w:pPr>
            <w:r>
              <w:rPr>
                <w:rFonts w:ascii="Arial" w:hAnsi="Arial"/>
              </w:rPr>
              <w:t xml:space="preserve">E' inoltre consentito ai Comuni di prevedere che i titolari di licenza per il servizio taxi possano svolgere servizi integrativi quali il taxi ad uso collettivo o mediante altre forme di organizzazione del servizio.</w:t>
            </w:r>
          </w:p>
          <w:p>
            <w:pPr>
              <w:jc w:val="both"/>
            </w:pPr>
            <w:r>
              <w:rPr>
                <w:rFonts w:ascii="Arial" w:hAnsi="Arial"/>
              </w:rPr>
              <w:t xml:space="preserve"/>
            </w:r>
          </w:p>
          <w:p>
            <w:pPr>
              <w:jc w:val="both"/>
            </w:pPr>
            <w:r>
              <w:rPr>
                <w:rFonts w:ascii="Arial" w:hAnsi="Arial"/>
              </w:rPr>
              <w:t xml:space="preserve">Con l'art. 36 del DL n. 201/2011, convertito con modificazione dalla legge n. 214/2011 successivamente modificato dal DL. N. 1/2012, convertito con modificazioni dalla L. 24 marzo 2012, n. 27, e' stata istituita l'Autorita' di regolazione dei trasporti, alla quale e' stata attribuita la funzione di supportare Comuni e Regioni nell'adeguare la normativa in materia di taxi ai principi europei di libera concorrenza.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n. 285 del 30 Aprile 1992 -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